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青原山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0"/>
          <w:sz w:val="44"/>
          <w:szCs w:val="44"/>
        </w:rPr>
        <w:t>景区观光车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公开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0"/>
          <w:sz w:val="44"/>
          <w:szCs w:val="44"/>
        </w:rPr>
        <w:t>采购公告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Chars="304" w:right="0" w:rightChars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1.采购条件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青原山景区观光车采购（以下简称“本项目”）已列入青原山景区议事日程，资金来源为企业自筹。项目已具备招标条件，招标人为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江西青原山旅游发展有限公司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，公司就本项目进行公开采购，并对投标人进行资格后审。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2.项目概况和采购范围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根据有关要求，公司计划购置2台观光车，主要用于公务接待，提高服务水平，提升青原山景区整体形象。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招标采购的车辆交货于2021年3月1日前（达到上牌标准），车辆质量保证期：不低于国家相应标准，符合汽车三包政策规定。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招标采购的车辆参考技术参数、数量等信息详见招标公告附件。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3．资格要求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（1）资格审查强制性资格条件所列资质条件、业绩和信誉等方面均能满足执行本项目要求的均可提出采购申请。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（2）本次采购不接受联合体投标。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）与投标人存在利害关系并可能影响招标公正性的法人，不得参加投标。单位负责人为同一人或者存在控股、管理关系的不同单位，不得同时参加本项目投标，否则相关投标均将被否决。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4．采购报名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凡有意参加的投标人，请投标人法定代表人或其授权代理人于2021年1月30日前持授权委托书、身份证、营业执照复印件（加盖公章）到公司进行报名，并进行报价。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联系人：谢辉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手机：18179639288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电话：0796-7075813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江西青原山旅游发展有限公司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2021年1月25日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2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22"/>
          <w:lang w:eastAsia="zh-CN"/>
        </w:rPr>
        <w:t>：</w:t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10座封闭燃油观光车参数要求</w:t>
      </w:r>
    </w:p>
    <w:tbl>
      <w:tblPr>
        <w:tblStyle w:val="5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0"/>
        <w:gridCol w:w="2838"/>
        <w:gridCol w:w="5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类别</w:t>
            </w:r>
          </w:p>
        </w:tc>
        <w:tc>
          <w:tcPr>
            <w:tcW w:w="283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  称</w:t>
            </w:r>
          </w:p>
        </w:tc>
        <w:tc>
          <w:tcPr>
            <w:tcW w:w="556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基本技术参数、功能要求</w:t>
            </w: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外形尺寸（长×宽×高mm）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4710*1600*2215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轴距（mm）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前/后轮距（mm）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≥1415/1355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底板离地</w:t>
            </w:r>
            <w:r>
              <w:rPr>
                <w:rFonts w:ascii="宋体" w:hAnsi="宋体" w:cs="宋体"/>
                <w:szCs w:val="21"/>
              </w:rPr>
              <w:t>高度</w:t>
            </w: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整备质量（kg）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</w:t>
            </w:r>
            <w:r>
              <w:rPr>
                <w:rFonts w:ascii="宋体" w:hAnsi="宋体" w:cs="宋体"/>
                <w:szCs w:val="21"/>
              </w:rPr>
              <w:t>总质量（</w:t>
            </w:r>
            <w:r>
              <w:rPr>
                <w:rFonts w:hint="eastAsia" w:ascii="宋体" w:hAnsi="宋体" w:cs="宋体"/>
                <w:szCs w:val="21"/>
              </w:rPr>
              <w:t>kg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最小</w:t>
            </w:r>
            <w:r>
              <w:rPr>
                <w:rFonts w:ascii="宋体" w:hAnsi="宋体" w:cs="宋体"/>
                <w:szCs w:val="21"/>
              </w:rPr>
              <w:t>离地间隙</w:t>
            </w:r>
            <w:r>
              <w:rPr>
                <w:rFonts w:hint="eastAsia" w:ascii="宋体" w:hAnsi="宋体" w:cs="宋体"/>
                <w:szCs w:val="21"/>
              </w:rPr>
              <w:t>（空载/满载）（mm）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140/120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最小转弯</w:t>
            </w:r>
            <w:r>
              <w:rPr>
                <w:rFonts w:ascii="宋体" w:hAnsi="宋体" w:cs="宋体"/>
                <w:szCs w:val="21"/>
              </w:rPr>
              <w:t>半径（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ascii="宋体" w:hAnsi="宋体" w:cs="宋体"/>
                <w:szCs w:val="21"/>
              </w:rPr>
              <w:t>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接近/离去</w:t>
            </w:r>
            <w:r>
              <w:rPr>
                <w:rFonts w:ascii="宋体" w:hAnsi="宋体" w:cs="宋体"/>
                <w:szCs w:val="21"/>
              </w:rPr>
              <w:t>角（</w:t>
            </w:r>
            <w:r>
              <w:rPr>
                <w:rFonts w:hint="eastAsia" w:ascii="宋体" w:hAnsi="宋体" w:cs="宋体"/>
                <w:szCs w:val="21"/>
              </w:rPr>
              <w:t>°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18.9/32.3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</w:t>
            </w:r>
            <w:r>
              <w:rPr>
                <w:rFonts w:ascii="宋体" w:hAnsi="宋体" w:cs="宋体"/>
                <w:szCs w:val="21"/>
              </w:rPr>
              <w:t>成员人数（</w:t>
            </w:r>
            <w:r>
              <w:rPr>
                <w:rFonts w:hint="eastAsia" w:ascii="宋体" w:hAnsi="宋体" w:cs="宋体"/>
                <w:szCs w:val="21"/>
              </w:rPr>
              <w:t>人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排量（L）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轮胎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真空子午胎175/75R14，汽车专用轮胎（满足GB9743-2015《轿车轮胎》认证标准）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发动机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发动机品牌与生产制造商为同一品牌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最大功率/转速（km/rpm）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64/6000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最大扭矩/转速N.m/rpm 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104/4000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百公里油耗（L）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≤5.4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最高车速 (km/h)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≤30 km/h；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</w:t>
            </w:r>
            <w:r>
              <w:rPr>
                <w:rFonts w:ascii="宋体" w:hAnsi="宋体" w:cs="宋体"/>
                <w:szCs w:val="21"/>
              </w:rPr>
              <w:t>爬坡度（</w:t>
            </w:r>
            <w:r>
              <w:rPr>
                <w:rFonts w:hint="eastAsia" w:ascii="宋体" w:hAnsi="宋体" w:cs="宋体"/>
                <w:szCs w:val="21"/>
              </w:rPr>
              <w:t>°/</w:t>
            </w:r>
            <w:r>
              <w:rPr>
                <w:rFonts w:ascii="宋体" w:hAnsi="宋体" w:cs="宋体"/>
                <w:szCs w:val="21"/>
              </w:rPr>
              <w:t>%）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＞</w:t>
            </w:r>
            <w:r>
              <w:rPr>
                <w:rFonts w:ascii="宋体" w:hAnsi="宋体" w:cs="宋体"/>
                <w:szCs w:val="21"/>
              </w:rPr>
              <w:t>15/27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转向系统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电子助力转向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前后桥及悬挂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前麦弗逊式独立悬挂＋后板簧悬架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制动系统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前后鼓式液压制动器、双回路液压制动、驻车制动装置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维修检测仓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发动机检测仓位于车头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车头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“前伸式”防撞车头，车头距离驾驶位90CM以上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车体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钣金顶棚及两侧翼子板，前后可分离式保险杠。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6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车身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车身需采用全金属结构，使用高强度钣金冲压成型，车身整体需经过阴极电泳防锈处理，喷涂汽车级油漆，抗老化、抗紫外线性能好，使用寿命长，顶棚加装隔热层。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车架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t>笼式防滚焊接车架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底盘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工信部目录下一款汽车的底盘，底盘车架整体经过阴极电泳与烤漆技术处理，达到十年以上防锈要求。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仪表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吸塑式仪表台，电子仪表（含电压、车速、里程、灯光、前后换向等信号）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音响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收音机+USB接口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前档玻璃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前挡安全玻璃配雨刮器，整车玻璃需经国家CCC认证，符合GB9656《汽车安全玻璃》要求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车门及座椅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钣金可拆卸车门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Ansi="宋体"/>
                <w:szCs w:val="21"/>
              </w:rPr>
              <w:t>加厚高回弹软座椅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内置可视电视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Ansi="宋体"/>
                <w:szCs w:val="21"/>
              </w:rPr>
              <w:t>讲解音响系统</w:t>
            </w:r>
          </w:p>
        </w:tc>
      </w:tr>
    </w:tbl>
    <w:p>
      <w:pPr>
        <w:jc w:val="center"/>
        <w:rPr>
          <w:rFonts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22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2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2"/>
          <w:lang w:eastAsia="zh-CN"/>
        </w:rPr>
        <w:t>：</w:t>
      </w: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10座封闭电动观光车参数要求</w:t>
      </w:r>
    </w:p>
    <w:tbl>
      <w:tblPr>
        <w:tblStyle w:val="5"/>
        <w:tblW w:w="9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55"/>
        <w:gridCol w:w="2873"/>
        <w:gridCol w:w="5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类别</w:t>
            </w:r>
          </w:p>
        </w:tc>
        <w:tc>
          <w:tcPr>
            <w:tcW w:w="287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  称</w:t>
            </w:r>
          </w:p>
        </w:tc>
        <w:tc>
          <w:tcPr>
            <w:tcW w:w="562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基本技术参数、功能要求</w:t>
            </w: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外形尺寸（长×宽×高mm）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4615*1600*2090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轴距（mm）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前/后轮距（mm）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≥1415/1340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底板离地</w:t>
            </w:r>
            <w:r>
              <w:rPr>
                <w:rFonts w:ascii="宋体" w:hAnsi="宋体" w:cs="宋体"/>
                <w:szCs w:val="21"/>
              </w:rPr>
              <w:t>高度</w:t>
            </w: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整备质量（kg）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</w:t>
            </w:r>
            <w:r>
              <w:rPr>
                <w:rFonts w:ascii="宋体" w:hAnsi="宋体" w:cs="宋体"/>
                <w:szCs w:val="21"/>
              </w:rPr>
              <w:t>总质量（</w:t>
            </w:r>
            <w:r>
              <w:rPr>
                <w:rFonts w:hint="eastAsia" w:ascii="宋体" w:hAnsi="宋体" w:cs="宋体"/>
                <w:szCs w:val="21"/>
              </w:rPr>
              <w:t>kg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最小</w:t>
            </w:r>
            <w:r>
              <w:rPr>
                <w:rFonts w:ascii="宋体" w:hAnsi="宋体" w:cs="宋体"/>
                <w:szCs w:val="21"/>
              </w:rPr>
              <w:t>离地间隙</w:t>
            </w:r>
            <w:r>
              <w:rPr>
                <w:rFonts w:hint="eastAsia" w:ascii="宋体" w:hAnsi="宋体" w:cs="宋体"/>
                <w:szCs w:val="21"/>
              </w:rPr>
              <w:t>（空载/满载）（mm）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0/1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最小转弯</w:t>
            </w:r>
            <w:r>
              <w:rPr>
                <w:rFonts w:ascii="宋体" w:hAnsi="宋体" w:cs="宋体"/>
                <w:szCs w:val="21"/>
              </w:rPr>
              <w:t>半径（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ascii="宋体" w:hAnsi="宋体" w:cs="宋体"/>
                <w:szCs w:val="21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接近/离去</w:t>
            </w:r>
            <w:r>
              <w:rPr>
                <w:rFonts w:ascii="宋体" w:hAnsi="宋体" w:cs="宋体"/>
                <w:szCs w:val="21"/>
              </w:rPr>
              <w:t>角（</w:t>
            </w:r>
            <w:r>
              <w:rPr>
                <w:rFonts w:hint="eastAsia" w:ascii="宋体" w:hAnsi="宋体" w:cs="宋体"/>
                <w:szCs w:val="21"/>
              </w:rPr>
              <w:t>°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</w:t>
            </w:r>
            <w:r>
              <w:rPr>
                <w:rFonts w:ascii="宋体" w:hAnsi="宋体" w:cs="宋体"/>
                <w:szCs w:val="21"/>
              </w:rPr>
              <w:t>成员人数（</w:t>
            </w:r>
            <w:r>
              <w:rPr>
                <w:rFonts w:hint="eastAsia" w:ascii="宋体" w:hAnsi="宋体" w:cs="宋体"/>
                <w:szCs w:val="21"/>
              </w:rPr>
              <w:t>人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≥10KW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轮胎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真空子午胎175/75R14，汽车专用轮胎（满足GB9743-2015《轿车轮胎》认证标准）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控制器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英博尔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电池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72V200ah超威免维护电池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续航里程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≥120km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最高车速 (km/h)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≤30 km/h；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</w:t>
            </w:r>
            <w:r>
              <w:rPr>
                <w:rFonts w:ascii="宋体" w:hAnsi="宋体" w:cs="宋体"/>
                <w:szCs w:val="21"/>
              </w:rPr>
              <w:t>爬坡度（</w:t>
            </w:r>
            <w:r>
              <w:rPr>
                <w:rFonts w:hint="eastAsia" w:ascii="宋体" w:hAnsi="宋体" w:cs="宋体"/>
                <w:szCs w:val="21"/>
              </w:rPr>
              <w:t>°/</w:t>
            </w:r>
            <w:r>
              <w:rPr>
                <w:rFonts w:ascii="宋体" w:hAnsi="宋体" w:cs="宋体"/>
                <w:szCs w:val="21"/>
              </w:rPr>
              <w:t>%）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＞</w:t>
            </w:r>
            <w:r>
              <w:rPr>
                <w:rFonts w:ascii="宋体" w:hAnsi="宋体" w:cs="宋体"/>
                <w:szCs w:val="21"/>
              </w:rPr>
              <w:t>11.3/20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转向系统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电子助力转向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前后桥及悬挂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前麦弗逊式独立悬挂＋后板簧悬架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制动系统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前后鼓式液压制动器、双回路液压制动、驻车制动装置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维修检测仓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检测仓位于车头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车头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“前伸式”防撞车头，车头距离驾驶位90CM以上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车体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钣金顶棚及两侧翼子板，前后可分离式保险杠。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车身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车身需采用全金属结构，使用高强度钣金冲压成型，车身整体需经过阴极电泳防锈处理，喷涂汽车级油漆，抗老化、抗紫外线性能好，使用寿命长，顶棚加装隔热层。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车架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t>笼式防滚焊接车架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底盘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工信部目录下一款汽车的底盘，底盘车架整体经过阴极电泳与烤漆技术处理，达到十年以上防锈要求。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仪表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吸塑式仪表台，电子仪表（含电压、车速、里程、灯光、前后换向等信号）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音响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收音机+USB接口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前档玻璃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前挡安全玻璃配雨刮器，整车玻璃需经国家CCC认证，符合GB9656《汽车安全玻璃》要求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车门及座椅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钣金可拆卸车门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Ansi="宋体"/>
                <w:szCs w:val="21"/>
              </w:rPr>
              <w:t>加厚高回弹软座椅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</w:t>
            </w:r>
          </w:p>
        </w:tc>
        <w:tc>
          <w:tcPr>
            <w:tcW w:w="5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内置可视电视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Ansi="宋体"/>
                <w:szCs w:val="21"/>
              </w:rPr>
              <w:t>讲解音响系统</w:t>
            </w:r>
          </w:p>
        </w:tc>
      </w:tr>
    </w:tbl>
    <w:p>
      <w:pPr>
        <w:jc w:val="left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C619C"/>
    <w:rsid w:val="07BC619C"/>
    <w:rsid w:val="091D5570"/>
    <w:rsid w:val="262A0F71"/>
    <w:rsid w:val="29297403"/>
    <w:rsid w:val="44F62BC4"/>
    <w:rsid w:val="51514A9C"/>
    <w:rsid w:val="6B30596E"/>
    <w:rsid w:val="73AB7918"/>
    <w:rsid w:val="76D9031D"/>
    <w:rsid w:val="7A937661"/>
    <w:rsid w:val="7DC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2021-01-27T02:49:00Z</dcterms:created>
  <dc:creator>nobody</dc:creator>
  <cp:lastModifiedBy>nobody</cp:lastModifiedBy>
  <dcterms:modified xsi:type="dcterms:W3CDTF">2021-01-27T07:31:00Z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